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C24BC" w14:textId="7079E96B" w:rsidR="003F27F8" w:rsidRDefault="003F27F8" w:rsidP="00F6100C">
      <w:pPr>
        <w:shd w:val="clear" w:color="auto" w:fill="FFFFFF"/>
        <w:spacing w:after="0" w:line="240" w:lineRule="auto"/>
        <w:jc w:val="center"/>
        <w:rPr>
          <w:rFonts w:ascii="Lato" w:eastAsia="Times New Roman" w:hAnsi="Lato" w:cs="Times New Roman"/>
          <w:b/>
          <w:color w:val="333333"/>
          <w:sz w:val="32"/>
          <w:szCs w:val="32"/>
          <w:lang w:eastAsia="pl-PL"/>
        </w:rPr>
      </w:pPr>
      <w:r w:rsidRPr="003F27F8">
        <w:rPr>
          <w:rFonts w:ascii="Lato" w:eastAsia="Times New Roman" w:hAnsi="Lato" w:cs="Times New Roman"/>
          <w:b/>
          <w:color w:val="333333"/>
          <w:sz w:val="32"/>
          <w:szCs w:val="32"/>
          <w:lang w:eastAsia="pl-PL"/>
        </w:rPr>
        <w:t>WYNIKI OCENY ŚRODOKRESOWEJ</w:t>
      </w:r>
    </w:p>
    <w:p w14:paraId="0FFCA456" w14:textId="20C5443B" w:rsidR="0095551B" w:rsidRPr="003F27F8" w:rsidRDefault="0095551B" w:rsidP="00F6100C">
      <w:pPr>
        <w:shd w:val="clear" w:color="auto" w:fill="FFFFFF"/>
        <w:spacing w:after="0" w:line="240" w:lineRule="auto"/>
        <w:jc w:val="center"/>
        <w:rPr>
          <w:rFonts w:ascii="Lato" w:eastAsia="Times New Roman" w:hAnsi="Lato" w:cs="Times New Roman"/>
          <w:b/>
          <w:color w:val="333333"/>
          <w:sz w:val="32"/>
          <w:szCs w:val="32"/>
          <w:lang w:eastAsia="pl-PL"/>
        </w:rPr>
      </w:pPr>
      <w:r>
        <w:rPr>
          <w:rFonts w:ascii="Lato" w:eastAsia="Times New Roman" w:hAnsi="Lato" w:cs="Times New Roman"/>
          <w:b/>
          <w:color w:val="333333"/>
          <w:sz w:val="32"/>
          <w:szCs w:val="32"/>
          <w:lang w:eastAsia="pl-PL"/>
        </w:rPr>
        <w:t>w roku akademickim 202</w:t>
      </w:r>
      <w:r w:rsidR="007076E3">
        <w:rPr>
          <w:rFonts w:ascii="Lato" w:eastAsia="Times New Roman" w:hAnsi="Lato" w:cs="Times New Roman"/>
          <w:b/>
          <w:color w:val="333333"/>
          <w:sz w:val="32"/>
          <w:szCs w:val="32"/>
          <w:lang w:eastAsia="pl-PL"/>
        </w:rPr>
        <w:t>0</w:t>
      </w:r>
      <w:r>
        <w:rPr>
          <w:rFonts w:ascii="Lato" w:eastAsia="Times New Roman" w:hAnsi="Lato" w:cs="Times New Roman"/>
          <w:b/>
          <w:color w:val="333333"/>
          <w:sz w:val="32"/>
          <w:szCs w:val="32"/>
          <w:lang w:eastAsia="pl-PL"/>
        </w:rPr>
        <w:t>/202</w:t>
      </w:r>
      <w:r w:rsidR="007076E3">
        <w:rPr>
          <w:rFonts w:ascii="Lato" w:eastAsia="Times New Roman" w:hAnsi="Lato" w:cs="Times New Roman"/>
          <w:b/>
          <w:color w:val="333333"/>
          <w:sz w:val="32"/>
          <w:szCs w:val="32"/>
          <w:lang w:eastAsia="pl-PL"/>
        </w:rPr>
        <w:t>1</w:t>
      </w:r>
    </w:p>
    <w:p w14:paraId="0B29FE6A" w14:textId="2092971E" w:rsidR="003F27F8" w:rsidRPr="003F27F8" w:rsidRDefault="003F27F8" w:rsidP="00F6100C">
      <w:pPr>
        <w:shd w:val="clear" w:color="auto" w:fill="FFFFFF"/>
        <w:spacing w:after="0" w:line="240" w:lineRule="auto"/>
        <w:jc w:val="center"/>
        <w:rPr>
          <w:rFonts w:ascii="Lato" w:eastAsia="Times New Roman" w:hAnsi="Lato" w:cs="Times New Roman"/>
          <w:b/>
          <w:color w:val="333333"/>
          <w:sz w:val="32"/>
          <w:szCs w:val="32"/>
          <w:lang w:eastAsia="pl-PL"/>
        </w:rPr>
      </w:pPr>
      <w:r w:rsidRPr="003F27F8">
        <w:rPr>
          <w:rFonts w:ascii="Lato" w:eastAsia="Times New Roman" w:hAnsi="Lato" w:cs="Times New Roman"/>
          <w:b/>
          <w:color w:val="333333"/>
          <w:sz w:val="32"/>
          <w:szCs w:val="32"/>
          <w:lang w:eastAsia="pl-PL"/>
        </w:rPr>
        <w:t xml:space="preserve">z dnia </w:t>
      </w:r>
      <w:r w:rsidR="007076E3">
        <w:rPr>
          <w:rFonts w:ascii="Lato" w:eastAsia="Times New Roman" w:hAnsi="Lato" w:cs="Times New Roman"/>
          <w:b/>
          <w:color w:val="333333"/>
          <w:sz w:val="32"/>
          <w:szCs w:val="32"/>
          <w:lang w:eastAsia="pl-PL"/>
        </w:rPr>
        <w:t>21</w:t>
      </w:r>
      <w:r w:rsidRPr="003F27F8">
        <w:rPr>
          <w:rFonts w:ascii="Lato" w:eastAsia="Times New Roman" w:hAnsi="Lato" w:cs="Times New Roman"/>
          <w:b/>
          <w:color w:val="333333"/>
          <w:sz w:val="32"/>
          <w:szCs w:val="32"/>
          <w:lang w:eastAsia="pl-PL"/>
        </w:rPr>
        <w:t xml:space="preserve"> września 202</w:t>
      </w:r>
      <w:r w:rsidR="007076E3">
        <w:rPr>
          <w:rFonts w:ascii="Lato" w:eastAsia="Times New Roman" w:hAnsi="Lato" w:cs="Times New Roman"/>
          <w:b/>
          <w:color w:val="333333"/>
          <w:sz w:val="32"/>
          <w:szCs w:val="32"/>
          <w:lang w:eastAsia="pl-PL"/>
        </w:rPr>
        <w:t>1</w:t>
      </w:r>
      <w:r w:rsidRPr="003F27F8">
        <w:rPr>
          <w:rFonts w:ascii="Lato" w:eastAsia="Times New Roman" w:hAnsi="Lato" w:cs="Times New Roman"/>
          <w:b/>
          <w:color w:val="333333"/>
          <w:sz w:val="32"/>
          <w:szCs w:val="32"/>
          <w:lang w:eastAsia="pl-PL"/>
        </w:rPr>
        <w:t xml:space="preserve"> r</w:t>
      </w:r>
    </w:p>
    <w:tbl>
      <w:tblPr>
        <w:tblStyle w:val="Tabela-Siatka"/>
        <w:tblpPr w:leftFromText="141" w:rightFromText="141" w:vertAnchor="page" w:horzAnchor="margin" w:tblpY="3475"/>
        <w:tblW w:w="14399" w:type="dxa"/>
        <w:tblBorders>
          <w:insideH w:val="none" w:sz="0" w:space="0" w:color="auto"/>
          <w:insideV w:val="none" w:sz="0" w:space="0" w:color="auto"/>
        </w:tblBorders>
        <w:tblLook w:val="04A0" w:firstRow="1" w:lastRow="0" w:firstColumn="1" w:lastColumn="0" w:noHBand="0" w:noVBand="1"/>
      </w:tblPr>
      <w:tblGrid>
        <w:gridCol w:w="14399"/>
      </w:tblGrid>
      <w:tr w:rsidR="003F27F8" w14:paraId="20EBE0B5" w14:textId="77777777" w:rsidTr="00B700B6">
        <w:trPr>
          <w:trHeight w:val="5093"/>
        </w:trPr>
        <w:tc>
          <w:tcPr>
            <w:tcW w:w="14399" w:type="dxa"/>
          </w:tcPr>
          <w:tbl>
            <w:tblPr>
              <w:tblpPr w:leftFromText="141" w:rightFromText="141" w:horzAnchor="margin" w:tblpY="-651"/>
              <w:tblW w:w="1416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1012"/>
              <w:gridCol w:w="1466"/>
              <w:gridCol w:w="1861"/>
              <w:gridCol w:w="9544"/>
            </w:tblGrid>
            <w:tr w:rsidR="003F27F8" w:rsidRPr="00D37162" w14:paraId="501BE5E6" w14:textId="77777777" w:rsidTr="007076E3">
              <w:trPr>
                <w:trHeight w:val="630"/>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008849"/>
                  <w:vAlign w:val="center"/>
                  <w:hideMark/>
                </w:tcPr>
                <w:p w14:paraId="5195E64E" w14:textId="77777777" w:rsidR="003F27F8" w:rsidRPr="00D37162" w:rsidRDefault="003F27F8" w:rsidP="003F27F8">
                  <w:pPr>
                    <w:spacing w:after="150" w:line="240" w:lineRule="auto"/>
                    <w:jc w:val="center"/>
                    <w:rPr>
                      <w:rFonts w:ascii="Lato" w:eastAsia="Times New Roman" w:hAnsi="Lato" w:cs="Times New Roman"/>
                      <w:b/>
                      <w:bCs/>
                      <w:color w:val="FFFFFF"/>
                      <w:sz w:val="21"/>
                      <w:szCs w:val="21"/>
                      <w:lang w:eastAsia="pl-PL"/>
                    </w:rPr>
                  </w:pPr>
                  <w:r w:rsidRPr="00D37162">
                    <w:rPr>
                      <w:rFonts w:ascii="Lato" w:eastAsia="Times New Roman" w:hAnsi="Lato" w:cs="Times New Roman"/>
                      <w:b/>
                      <w:bCs/>
                      <w:color w:val="FFFFFF"/>
                      <w:sz w:val="21"/>
                      <w:szCs w:val="21"/>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008849"/>
                  <w:vAlign w:val="center"/>
                  <w:hideMark/>
                </w:tcPr>
                <w:p w14:paraId="7EB11A1F" w14:textId="77777777" w:rsidR="003F27F8" w:rsidRPr="00D37162" w:rsidRDefault="003F27F8" w:rsidP="003F27F8">
                  <w:pPr>
                    <w:spacing w:after="150" w:line="240" w:lineRule="auto"/>
                    <w:jc w:val="center"/>
                    <w:rPr>
                      <w:rFonts w:ascii="Lato" w:eastAsia="Times New Roman" w:hAnsi="Lato" w:cs="Times New Roman"/>
                      <w:b/>
                      <w:bCs/>
                      <w:color w:val="FFFFFF"/>
                      <w:sz w:val="21"/>
                      <w:szCs w:val="21"/>
                      <w:lang w:eastAsia="pl-PL"/>
                    </w:rPr>
                  </w:pPr>
                  <w:r w:rsidRPr="00D37162">
                    <w:rPr>
                      <w:rFonts w:ascii="Lato" w:eastAsia="Times New Roman" w:hAnsi="Lato" w:cs="Times New Roman"/>
                      <w:b/>
                      <w:bCs/>
                      <w:color w:val="FFFFFF"/>
                      <w:sz w:val="21"/>
                      <w:szCs w:val="21"/>
                      <w:lang w:eastAsia="pl-PL"/>
                    </w:rPr>
                    <w:t>Numer albumu</w:t>
                  </w:r>
                </w:p>
              </w:tc>
              <w:tc>
                <w:tcPr>
                  <w:tcW w:w="0" w:type="auto"/>
                  <w:tcBorders>
                    <w:top w:val="single" w:sz="4" w:space="0" w:color="auto"/>
                    <w:left w:val="single" w:sz="2" w:space="0" w:color="auto"/>
                    <w:bottom w:val="single" w:sz="4" w:space="0" w:color="auto"/>
                    <w:right w:val="single" w:sz="12" w:space="0" w:color="auto"/>
                  </w:tcBorders>
                  <w:shd w:val="clear" w:color="auto" w:fill="008849"/>
                  <w:vAlign w:val="center"/>
                  <w:hideMark/>
                </w:tcPr>
                <w:p w14:paraId="6B4404A8" w14:textId="77777777" w:rsidR="003F27F8" w:rsidRPr="00D37162" w:rsidRDefault="003F27F8" w:rsidP="003F27F8">
                  <w:pPr>
                    <w:spacing w:after="150" w:line="240" w:lineRule="auto"/>
                    <w:jc w:val="center"/>
                    <w:rPr>
                      <w:rFonts w:ascii="Lato" w:eastAsia="Times New Roman" w:hAnsi="Lato" w:cs="Times New Roman"/>
                      <w:b/>
                      <w:bCs/>
                      <w:color w:val="FFFFFF"/>
                      <w:sz w:val="21"/>
                      <w:szCs w:val="21"/>
                      <w:lang w:eastAsia="pl-PL"/>
                    </w:rPr>
                  </w:pPr>
                  <w:r w:rsidRPr="00D37162">
                    <w:rPr>
                      <w:rFonts w:ascii="Lato" w:eastAsia="Times New Roman" w:hAnsi="Lato" w:cs="Times New Roman"/>
                      <w:b/>
                      <w:bCs/>
                      <w:color w:val="FFFFFF"/>
                      <w:sz w:val="21"/>
                      <w:szCs w:val="21"/>
                      <w:lang w:eastAsia="pl-PL"/>
                    </w:rPr>
                    <w:t>Dyscyplina</w:t>
                  </w:r>
                </w:p>
              </w:tc>
              <w:tc>
                <w:tcPr>
                  <w:tcW w:w="1831" w:type="dxa"/>
                  <w:tcBorders>
                    <w:top w:val="single" w:sz="4" w:space="0" w:color="auto"/>
                    <w:left w:val="single" w:sz="4" w:space="0" w:color="auto"/>
                    <w:bottom w:val="single" w:sz="4" w:space="0" w:color="auto"/>
                    <w:right w:val="single" w:sz="4" w:space="0" w:color="auto"/>
                  </w:tcBorders>
                  <w:shd w:val="clear" w:color="auto" w:fill="008849"/>
                  <w:vAlign w:val="center"/>
                  <w:hideMark/>
                </w:tcPr>
                <w:p w14:paraId="2B73825D" w14:textId="77777777" w:rsidR="003F27F8" w:rsidRPr="00D37162" w:rsidRDefault="003F27F8" w:rsidP="003F27F8">
                  <w:pPr>
                    <w:spacing w:after="150" w:line="240" w:lineRule="auto"/>
                    <w:jc w:val="center"/>
                    <w:rPr>
                      <w:rFonts w:ascii="Lato" w:eastAsia="Times New Roman" w:hAnsi="Lato" w:cs="Times New Roman"/>
                      <w:b/>
                      <w:bCs/>
                      <w:color w:val="FFFFFF"/>
                      <w:sz w:val="21"/>
                      <w:szCs w:val="21"/>
                      <w:lang w:eastAsia="pl-PL"/>
                    </w:rPr>
                  </w:pPr>
                  <w:r w:rsidRPr="00D37162">
                    <w:rPr>
                      <w:rFonts w:ascii="Lato" w:eastAsia="Times New Roman" w:hAnsi="Lato" w:cs="Times New Roman"/>
                      <w:b/>
                      <w:bCs/>
                      <w:color w:val="FFFFFF"/>
                      <w:sz w:val="21"/>
                      <w:szCs w:val="21"/>
                      <w:lang w:eastAsia="pl-PL"/>
                    </w:rPr>
                    <w:t>Wynik oceny</w:t>
                  </w:r>
                </w:p>
              </w:tc>
              <w:tc>
                <w:tcPr>
                  <w:tcW w:w="9499" w:type="dxa"/>
                  <w:tcBorders>
                    <w:top w:val="single" w:sz="4" w:space="0" w:color="auto"/>
                    <w:left w:val="single" w:sz="4" w:space="0" w:color="auto"/>
                    <w:bottom w:val="single" w:sz="4" w:space="0" w:color="auto"/>
                    <w:right w:val="single" w:sz="4" w:space="0" w:color="auto"/>
                  </w:tcBorders>
                  <w:shd w:val="clear" w:color="auto" w:fill="008849"/>
                  <w:vAlign w:val="center"/>
                  <w:hideMark/>
                </w:tcPr>
                <w:p w14:paraId="095D01D4" w14:textId="77777777" w:rsidR="003F27F8" w:rsidRPr="00D37162" w:rsidRDefault="003F27F8" w:rsidP="003F27F8">
                  <w:pPr>
                    <w:spacing w:after="150" w:line="240" w:lineRule="auto"/>
                    <w:jc w:val="center"/>
                    <w:rPr>
                      <w:rFonts w:ascii="Lato" w:eastAsia="Times New Roman" w:hAnsi="Lato" w:cs="Times New Roman"/>
                      <w:b/>
                      <w:bCs/>
                      <w:color w:val="FFFFFF"/>
                      <w:sz w:val="21"/>
                      <w:szCs w:val="21"/>
                      <w:lang w:eastAsia="pl-PL"/>
                    </w:rPr>
                  </w:pPr>
                  <w:r w:rsidRPr="00D37162">
                    <w:rPr>
                      <w:rFonts w:ascii="Lato" w:eastAsia="Times New Roman" w:hAnsi="Lato" w:cs="Times New Roman"/>
                      <w:b/>
                      <w:bCs/>
                      <w:color w:val="FFFFFF"/>
                      <w:sz w:val="21"/>
                      <w:szCs w:val="21"/>
                      <w:lang w:eastAsia="pl-PL"/>
                    </w:rPr>
                    <w:t>Uzasadnienie oceny</w:t>
                  </w:r>
                </w:p>
              </w:tc>
            </w:tr>
            <w:tr w:rsidR="003F27F8" w:rsidRPr="00D37162" w14:paraId="3937A361" w14:textId="77777777" w:rsidTr="007076E3">
              <w:trPr>
                <w:trHeight w:val="1073"/>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F981F"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8BC8DB" w14:textId="3FFF7206"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6</w:t>
                  </w:r>
                  <w:r w:rsidR="007422B0">
                    <w:rPr>
                      <w:rFonts w:ascii="Lato" w:eastAsia="Times New Roman" w:hAnsi="Lato" w:cs="Times New Roman"/>
                      <w:color w:val="333333"/>
                      <w:sz w:val="21"/>
                      <w:szCs w:val="21"/>
                      <w:lang w:eastAsia="pl-PL"/>
                    </w:rPr>
                    <w:t>7</w:t>
                  </w:r>
                  <w:r w:rsidR="007076E3">
                    <w:rPr>
                      <w:rFonts w:ascii="Lato" w:eastAsia="Times New Roman" w:hAnsi="Lato" w:cs="Times New Roman"/>
                      <w:color w:val="333333"/>
                      <w:sz w:val="21"/>
                      <w:szCs w:val="21"/>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A57377"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nauki o kulturze fizycznej</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B8A61"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pozytywny</w:t>
                  </w:r>
                </w:p>
              </w:tc>
              <w:tc>
                <w:tcPr>
                  <w:tcW w:w="94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85F2B" w14:textId="4D391076" w:rsidR="003F27F8" w:rsidRPr="00F6100C" w:rsidRDefault="007076E3" w:rsidP="003F27F8">
                  <w:pPr>
                    <w:spacing w:after="150" w:line="240" w:lineRule="auto"/>
                    <w:jc w:val="both"/>
                    <w:rPr>
                      <w:rFonts w:ascii="Lato" w:eastAsia="Times New Roman" w:hAnsi="Lato" w:cs="Times New Roman"/>
                      <w:color w:val="333333"/>
                      <w:sz w:val="20"/>
                      <w:szCs w:val="20"/>
                      <w:lang w:eastAsia="pl-PL"/>
                    </w:rPr>
                  </w:pPr>
                  <w:r w:rsidRPr="00DA75B1">
                    <w:rPr>
                      <w:rFonts w:ascii="Lato" w:eastAsia="Times New Roman" w:hAnsi="Lato" w:cs="Times New Roman"/>
                      <w:sz w:val="20"/>
                      <w:szCs w:val="20"/>
                      <w:lang w:eastAsia="pl-PL"/>
                    </w:rPr>
                    <w:t xml:space="preserve">Doktorantka wykazuje bardzo dobrą znajomość zagadnień dotyczących stabilności posturalnej oraz posiada umiejętności w zakresie samodzielnego prowadzenia pracy naukowej. Swoimi osiągnięciami  w ciągu dwóch pierwszych lat działalności w Szkole Doktorskiej AWF potwierdziła ważność i aktualność podjętego tematu, nowatorski charakter metody badawczej, umiejętność rzetelnego opracowania wyników badań empirycznych oraz formułowania wniosków. Wysoki stopień zaawansowania prac badawczych zapewnia ukończenie rozprawy doktorskiej w terminie przewidzianym w Indywidualnym Planie Badawczym.  </w:t>
                  </w:r>
                </w:p>
              </w:tc>
            </w:tr>
            <w:tr w:rsidR="003F27F8" w:rsidRPr="00D37162" w14:paraId="67D93069" w14:textId="77777777" w:rsidTr="007076E3">
              <w:trPr>
                <w:trHeight w:val="95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6F6F6"/>
                  <w:vAlign w:val="center"/>
                  <w:hideMark/>
                </w:tcPr>
                <w:p w14:paraId="268380E8"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auto" w:fill="F6F6F6"/>
                  <w:vAlign w:val="center"/>
                  <w:hideMark/>
                </w:tcPr>
                <w:p w14:paraId="1DF4F9DB" w14:textId="0A68C0C8"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68</w:t>
                  </w:r>
                  <w:r w:rsidR="00F6100C">
                    <w:rPr>
                      <w:rFonts w:ascii="Lato" w:eastAsia="Times New Roman" w:hAnsi="Lato" w:cs="Times New Roman"/>
                      <w:color w:val="333333"/>
                      <w:sz w:val="21"/>
                      <w:szCs w:val="21"/>
                      <w:lang w:eastAsia="pl-PL"/>
                    </w:rPr>
                    <w:t>0</w:t>
                  </w:r>
                </w:p>
              </w:tc>
              <w:tc>
                <w:tcPr>
                  <w:tcW w:w="0" w:type="auto"/>
                  <w:tcBorders>
                    <w:top w:val="single" w:sz="4" w:space="0" w:color="auto"/>
                    <w:left w:val="single" w:sz="4" w:space="0" w:color="auto"/>
                    <w:bottom w:val="single" w:sz="4" w:space="0" w:color="auto"/>
                    <w:right w:val="single" w:sz="4" w:space="0" w:color="auto"/>
                  </w:tcBorders>
                  <w:shd w:val="clear" w:color="auto" w:fill="F6F6F6"/>
                  <w:vAlign w:val="center"/>
                  <w:hideMark/>
                </w:tcPr>
                <w:p w14:paraId="5A221B87"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nauki o kulturze fizycznej</w:t>
                  </w:r>
                </w:p>
              </w:tc>
              <w:tc>
                <w:tcPr>
                  <w:tcW w:w="1831" w:type="dxa"/>
                  <w:tcBorders>
                    <w:top w:val="single" w:sz="4" w:space="0" w:color="auto"/>
                    <w:left w:val="single" w:sz="4" w:space="0" w:color="auto"/>
                    <w:bottom w:val="single" w:sz="4" w:space="0" w:color="auto"/>
                    <w:right w:val="single" w:sz="4" w:space="0" w:color="auto"/>
                  </w:tcBorders>
                  <w:shd w:val="clear" w:color="auto" w:fill="F6F6F6"/>
                  <w:vAlign w:val="center"/>
                  <w:hideMark/>
                </w:tcPr>
                <w:p w14:paraId="6986E321" w14:textId="77777777" w:rsidR="003F27F8" w:rsidRPr="00D37162" w:rsidRDefault="003F27F8" w:rsidP="003F27F8">
                  <w:pPr>
                    <w:spacing w:after="150" w:line="240" w:lineRule="auto"/>
                    <w:jc w:val="center"/>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pozytywny</w:t>
                  </w:r>
                </w:p>
              </w:tc>
              <w:tc>
                <w:tcPr>
                  <w:tcW w:w="9499" w:type="dxa"/>
                  <w:tcBorders>
                    <w:top w:val="single" w:sz="4" w:space="0" w:color="auto"/>
                    <w:left w:val="single" w:sz="4" w:space="0" w:color="auto"/>
                    <w:bottom w:val="single" w:sz="4" w:space="0" w:color="auto"/>
                    <w:right w:val="single" w:sz="4" w:space="0" w:color="auto"/>
                  </w:tcBorders>
                  <w:shd w:val="clear" w:color="auto" w:fill="F6F6F6"/>
                  <w:vAlign w:val="center"/>
                  <w:hideMark/>
                </w:tcPr>
                <w:p w14:paraId="76C46810" w14:textId="5E229600" w:rsidR="003F27F8" w:rsidRPr="00F6100C" w:rsidRDefault="007076E3" w:rsidP="00F6100C">
                  <w:pPr>
                    <w:spacing w:line="276" w:lineRule="auto"/>
                    <w:jc w:val="both"/>
                    <w:rPr>
                      <w:rFonts w:ascii="Lato" w:hAnsi="Lato" w:cstheme="majorHAnsi"/>
                      <w:sz w:val="20"/>
                      <w:szCs w:val="20"/>
                    </w:rPr>
                  </w:pPr>
                  <w:r w:rsidRPr="00DA75B1">
                    <w:rPr>
                      <w:rFonts w:ascii="Lato" w:eastAsia="Times New Roman" w:hAnsi="Lato" w:cs="Times New Roman"/>
                      <w:sz w:val="20"/>
                      <w:szCs w:val="20"/>
                      <w:lang w:eastAsia="pl-PL"/>
                    </w:rPr>
                    <w:t>Doktorantka wykazała się doskonałą znajomością zagadnień ogólnych i szczegółowych w podjętym problemie badawczym, ponadto posiada umiejętności w zakresie samodzielnego prowadzenia pracy naukowej. Swoimi dotychczasowymi osiągnięciami w Szkole Doktorskiej AWF potwierdziła skuteczną realizację Indywidulanego Planu Badawczego. Komisja pozytywnie ocenia zwłaszcza nowatorski charakter podjętego zagadnienia, umiejętność efektywnego opracowania wyników badań empirycznych oraz formułowania wniosków przez Doktorantkę. Wysoki stopień zawansowanie prac badawczych zapewnia ukończenie rozprawy doktorskiej w terminie przewidzianym w Indywidualnym Planie Badawczym.</w:t>
                  </w:r>
                </w:p>
              </w:tc>
            </w:tr>
          </w:tbl>
          <w:p w14:paraId="1C631A12" w14:textId="77777777" w:rsidR="003F27F8" w:rsidRDefault="003F27F8" w:rsidP="003F27F8"/>
        </w:tc>
      </w:tr>
    </w:tbl>
    <w:p w14:paraId="1247D641" w14:textId="62FC5140" w:rsidR="00F6100C" w:rsidRDefault="00F6100C" w:rsidP="00D37162">
      <w:pPr>
        <w:shd w:val="clear" w:color="auto" w:fill="FFFFFF"/>
        <w:spacing w:after="150" w:line="240" w:lineRule="auto"/>
        <w:rPr>
          <w:rFonts w:ascii="Lato" w:eastAsia="Times New Roman" w:hAnsi="Lato" w:cs="Times New Roman"/>
          <w:color w:val="333333"/>
          <w:sz w:val="21"/>
          <w:szCs w:val="21"/>
          <w:lang w:eastAsia="pl-PL"/>
        </w:rPr>
      </w:pPr>
    </w:p>
    <w:p w14:paraId="04C5EC8E" w14:textId="77777777" w:rsidR="0092264B" w:rsidRDefault="0092264B" w:rsidP="00D37162">
      <w:pPr>
        <w:shd w:val="clear" w:color="auto" w:fill="FFFFFF"/>
        <w:spacing w:after="150" w:line="240" w:lineRule="auto"/>
        <w:rPr>
          <w:rFonts w:ascii="Lato" w:eastAsia="Times New Roman" w:hAnsi="Lato" w:cs="Times New Roman"/>
          <w:color w:val="333333"/>
          <w:sz w:val="21"/>
          <w:szCs w:val="21"/>
          <w:lang w:eastAsia="pl-PL"/>
        </w:rPr>
      </w:pPr>
    </w:p>
    <w:p w14:paraId="7883412C" w14:textId="77777777" w:rsidR="007076E3" w:rsidRDefault="007076E3" w:rsidP="00F6100C">
      <w:pPr>
        <w:shd w:val="clear" w:color="auto" w:fill="FFFFFF"/>
        <w:spacing w:after="0" w:line="240" w:lineRule="auto"/>
        <w:rPr>
          <w:rFonts w:ascii="Lato" w:eastAsia="Times New Roman" w:hAnsi="Lato" w:cs="Times New Roman"/>
          <w:color w:val="333333"/>
          <w:sz w:val="21"/>
          <w:szCs w:val="21"/>
          <w:lang w:eastAsia="pl-PL"/>
        </w:rPr>
      </w:pPr>
    </w:p>
    <w:p w14:paraId="72283EC0" w14:textId="622D2221" w:rsidR="00D37162" w:rsidRPr="00D37162" w:rsidRDefault="00D37162" w:rsidP="00F6100C">
      <w:pPr>
        <w:shd w:val="clear" w:color="auto" w:fill="FFFFFF"/>
        <w:spacing w:after="0" w:line="240" w:lineRule="auto"/>
        <w:rPr>
          <w:rFonts w:ascii="Lato" w:eastAsia="Times New Roman" w:hAnsi="Lato" w:cs="Times New Roman"/>
          <w:color w:val="333333"/>
          <w:sz w:val="21"/>
          <w:szCs w:val="21"/>
          <w:lang w:eastAsia="pl-PL"/>
        </w:rPr>
      </w:pPr>
      <w:r w:rsidRPr="00D37162">
        <w:rPr>
          <w:rFonts w:ascii="Lato" w:eastAsia="Times New Roman" w:hAnsi="Lato" w:cs="Times New Roman"/>
          <w:color w:val="333333"/>
          <w:sz w:val="21"/>
          <w:szCs w:val="21"/>
          <w:lang w:eastAsia="pl-PL"/>
        </w:rPr>
        <w:t>Komisja oceniła pozytywnie wszystkie wyszczególnione składniki oceny śródokresowej.</w:t>
      </w:r>
      <w:r w:rsidR="00F6100C">
        <w:rPr>
          <w:rFonts w:ascii="Lato" w:eastAsia="Times New Roman" w:hAnsi="Lato" w:cs="Times New Roman"/>
          <w:color w:val="333333"/>
          <w:sz w:val="21"/>
          <w:szCs w:val="21"/>
          <w:lang w:eastAsia="pl-PL"/>
        </w:rPr>
        <w:t xml:space="preserve">                                                                               </w:t>
      </w:r>
      <w:r w:rsidRPr="00D37162">
        <w:rPr>
          <w:rFonts w:ascii="Lato" w:eastAsia="Times New Roman" w:hAnsi="Lato" w:cs="Times New Roman"/>
          <w:i/>
          <w:iCs/>
          <w:color w:val="333333"/>
          <w:sz w:val="21"/>
          <w:szCs w:val="21"/>
          <w:lang w:eastAsia="pl-PL"/>
        </w:rPr>
        <w:t>Przewodniczący</w:t>
      </w:r>
    </w:p>
    <w:p w14:paraId="0CFC38A0" w14:textId="77777777" w:rsidR="00D37162" w:rsidRPr="00D37162" w:rsidRDefault="00D37162" w:rsidP="00F6100C">
      <w:pPr>
        <w:shd w:val="clear" w:color="auto" w:fill="FFFFFF"/>
        <w:spacing w:after="0" w:line="240" w:lineRule="auto"/>
        <w:jc w:val="right"/>
        <w:rPr>
          <w:rFonts w:ascii="Lato" w:eastAsia="Times New Roman" w:hAnsi="Lato" w:cs="Times New Roman"/>
          <w:color w:val="333333"/>
          <w:sz w:val="21"/>
          <w:szCs w:val="21"/>
          <w:lang w:eastAsia="pl-PL"/>
        </w:rPr>
      </w:pPr>
      <w:r w:rsidRPr="00D37162">
        <w:rPr>
          <w:rFonts w:ascii="Lato" w:eastAsia="Times New Roman" w:hAnsi="Lato" w:cs="Times New Roman"/>
          <w:i/>
          <w:iCs/>
          <w:color w:val="333333"/>
          <w:sz w:val="21"/>
          <w:szCs w:val="21"/>
          <w:lang w:eastAsia="pl-PL"/>
        </w:rPr>
        <w:t>Komisji ds. oceny śródokresowej</w:t>
      </w:r>
    </w:p>
    <w:p w14:paraId="210A012F" w14:textId="77777777" w:rsidR="0092264B" w:rsidRDefault="00D37162" w:rsidP="0092264B">
      <w:pPr>
        <w:shd w:val="clear" w:color="auto" w:fill="FFFFFF"/>
        <w:spacing w:after="0" w:line="240" w:lineRule="auto"/>
        <w:jc w:val="right"/>
        <w:rPr>
          <w:rFonts w:ascii="Lato" w:eastAsia="Times New Roman" w:hAnsi="Lato" w:cs="Times New Roman"/>
          <w:color w:val="333333"/>
          <w:sz w:val="21"/>
          <w:szCs w:val="21"/>
          <w:lang w:eastAsia="pl-PL"/>
        </w:rPr>
      </w:pPr>
      <w:r w:rsidRPr="00D37162">
        <w:rPr>
          <w:rFonts w:ascii="Lato" w:eastAsia="Times New Roman" w:hAnsi="Lato" w:cs="Times New Roman"/>
          <w:i/>
          <w:iCs/>
          <w:color w:val="333333"/>
          <w:sz w:val="21"/>
          <w:szCs w:val="21"/>
          <w:lang w:eastAsia="pl-PL"/>
        </w:rPr>
        <w:t>doktorantów Szkoły Doktorskiej AWF Warszawa</w:t>
      </w:r>
    </w:p>
    <w:p w14:paraId="3EB3BF34" w14:textId="0F4B9D5C" w:rsidR="00AA16AC" w:rsidRPr="00A07147" w:rsidRDefault="007076E3" w:rsidP="00A07147">
      <w:pPr>
        <w:shd w:val="clear" w:color="auto" w:fill="FFFFFF"/>
        <w:spacing w:after="150" w:line="240" w:lineRule="auto"/>
        <w:jc w:val="right"/>
        <w:rPr>
          <w:rFonts w:ascii="Lato" w:eastAsia="Times New Roman" w:hAnsi="Lato" w:cs="Times New Roman"/>
          <w:color w:val="333333"/>
          <w:sz w:val="24"/>
          <w:szCs w:val="24"/>
          <w:lang w:eastAsia="pl-PL"/>
        </w:rPr>
      </w:pPr>
      <w:bookmarkStart w:id="0" w:name="_GoBack"/>
      <w:bookmarkEnd w:id="0"/>
      <w:r w:rsidRPr="002215DE">
        <w:rPr>
          <w:rFonts w:ascii="Lato" w:eastAsia="Times New Roman" w:hAnsi="Lato" w:cs="Times New Roman"/>
          <w:i/>
          <w:iCs/>
          <w:color w:val="333333"/>
          <w:sz w:val="24"/>
          <w:szCs w:val="24"/>
          <w:lang w:eastAsia="pl-PL"/>
        </w:rPr>
        <w:t>dr hab. Izabela Rutkowska prof. AWF</w:t>
      </w:r>
      <w:r w:rsidR="00A07147">
        <w:rPr>
          <w:rFonts w:ascii="Lato" w:eastAsia="Times New Roman" w:hAnsi="Lato" w:cs="Times New Roman"/>
          <w:i/>
          <w:iCs/>
          <w:color w:val="333333"/>
          <w:sz w:val="24"/>
          <w:szCs w:val="24"/>
          <w:lang w:eastAsia="pl-PL"/>
        </w:rPr>
        <w:t>.;</w:t>
      </w:r>
    </w:p>
    <w:sectPr w:rsidR="00AA16AC" w:rsidRPr="00A07147" w:rsidSect="00F6100C">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8329" w14:textId="77777777" w:rsidR="00F85277" w:rsidRDefault="00F85277" w:rsidP="00F85277">
      <w:pPr>
        <w:spacing w:after="0" w:line="240" w:lineRule="auto"/>
      </w:pPr>
      <w:r>
        <w:separator/>
      </w:r>
    </w:p>
  </w:endnote>
  <w:endnote w:type="continuationSeparator" w:id="0">
    <w:p w14:paraId="08B28D11" w14:textId="77777777" w:rsidR="00F85277" w:rsidRDefault="00F85277" w:rsidP="00F8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AC84" w14:textId="4D47E8FF" w:rsidR="00F85277" w:rsidRDefault="00F85277" w:rsidP="00A07147">
    <w:pPr>
      <w:pStyle w:val="Stopka"/>
      <w:jc w:val="center"/>
    </w:pPr>
  </w:p>
  <w:p w14:paraId="2B4EEAE2" w14:textId="77777777" w:rsidR="00F85277" w:rsidRDefault="00F85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D6F7" w14:textId="77777777" w:rsidR="00F85277" w:rsidRDefault="00F85277" w:rsidP="00F85277">
      <w:pPr>
        <w:spacing w:after="0" w:line="240" w:lineRule="auto"/>
      </w:pPr>
      <w:r>
        <w:separator/>
      </w:r>
    </w:p>
  </w:footnote>
  <w:footnote w:type="continuationSeparator" w:id="0">
    <w:p w14:paraId="3E12A1A8" w14:textId="77777777" w:rsidR="00F85277" w:rsidRDefault="00F85277" w:rsidP="00F85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AD"/>
    <w:rsid w:val="003F27F8"/>
    <w:rsid w:val="00524368"/>
    <w:rsid w:val="005357C1"/>
    <w:rsid w:val="00600750"/>
    <w:rsid w:val="0062667B"/>
    <w:rsid w:val="006B482A"/>
    <w:rsid w:val="007076E3"/>
    <w:rsid w:val="007422B0"/>
    <w:rsid w:val="0092264B"/>
    <w:rsid w:val="0095551B"/>
    <w:rsid w:val="00A07147"/>
    <w:rsid w:val="00AA16AC"/>
    <w:rsid w:val="00B700B6"/>
    <w:rsid w:val="00BA72AD"/>
    <w:rsid w:val="00BF4896"/>
    <w:rsid w:val="00C11D97"/>
    <w:rsid w:val="00C9578E"/>
    <w:rsid w:val="00D37162"/>
    <w:rsid w:val="00F6100C"/>
    <w:rsid w:val="00F85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EDAC"/>
  <w15:chartTrackingRefBased/>
  <w15:docId w15:val="{8A54CD7B-CD82-40B5-AEA5-148F6FFC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371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37162"/>
    <w:rPr>
      <w:i/>
      <w:iCs/>
    </w:rPr>
  </w:style>
  <w:style w:type="table" w:styleId="Tabela-Siatka">
    <w:name w:val="Table Grid"/>
    <w:basedOn w:val="Standardowy"/>
    <w:uiPriority w:val="39"/>
    <w:rsid w:val="00D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852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277"/>
  </w:style>
  <w:style w:type="paragraph" w:styleId="Stopka">
    <w:name w:val="footer"/>
    <w:basedOn w:val="Normalny"/>
    <w:link w:val="StopkaZnak"/>
    <w:uiPriority w:val="99"/>
    <w:unhideWhenUsed/>
    <w:rsid w:val="00F85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277"/>
  </w:style>
  <w:style w:type="paragraph" w:customStyle="1" w:styleId="Default">
    <w:name w:val="Default"/>
    <w:rsid w:val="00F610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05046">
      <w:bodyDiv w:val="1"/>
      <w:marLeft w:val="0"/>
      <w:marRight w:val="0"/>
      <w:marTop w:val="0"/>
      <w:marBottom w:val="0"/>
      <w:divBdr>
        <w:top w:val="none" w:sz="0" w:space="0" w:color="auto"/>
        <w:left w:val="none" w:sz="0" w:space="0" w:color="auto"/>
        <w:bottom w:val="none" w:sz="0" w:space="0" w:color="auto"/>
        <w:right w:val="none" w:sz="0" w:space="0" w:color="auto"/>
      </w:divBdr>
    </w:div>
    <w:div w:id="19267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1518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Szulc</dc:creator>
  <cp:keywords/>
  <dc:description/>
  <cp:lastModifiedBy>Bogumiła Szulc</cp:lastModifiedBy>
  <cp:revision>5</cp:revision>
  <cp:lastPrinted>2024-02-13T10:18:00Z</cp:lastPrinted>
  <dcterms:created xsi:type="dcterms:W3CDTF">2024-02-13T10:10:00Z</dcterms:created>
  <dcterms:modified xsi:type="dcterms:W3CDTF">2024-02-13T10:23:00Z</dcterms:modified>
</cp:coreProperties>
</file>