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EB" w:rsidRPr="005C02EB" w:rsidRDefault="005C02EB" w:rsidP="00781447">
      <w:pPr>
        <w:spacing w:before="100" w:beforeAutospacing="1" w:after="0"/>
        <w:contextualSpacing/>
        <w:jc w:val="both"/>
        <w:rPr>
          <w:b/>
          <w:sz w:val="24"/>
          <w:u w:val="single"/>
        </w:rPr>
      </w:pPr>
      <w:bookmarkStart w:id="0" w:name="_GoBack"/>
      <w:bookmarkEnd w:id="0"/>
      <w:r w:rsidRPr="005C02EB">
        <w:rPr>
          <w:b/>
          <w:sz w:val="24"/>
          <w:u w:val="single"/>
        </w:rPr>
        <w:t>NCN – ułatwienia w realizacji grantów</w:t>
      </w:r>
    </w:p>
    <w:p w:rsidR="005C02EB" w:rsidRPr="005C02EB" w:rsidRDefault="005C02EB" w:rsidP="00781447">
      <w:pPr>
        <w:spacing w:before="100" w:beforeAutospacing="1" w:after="0"/>
        <w:contextualSpacing/>
        <w:jc w:val="both"/>
      </w:pPr>
      <w:r w:rsidRPr="005C02EB">
        <w:t>Poniżej lista ułatwień, które zamierza wprowadzić NCN:</w:t>
      </w:r>
    </w:p>
    <w:p w:rsidR="005C02EB" w:rsidRPr="005C02EB" w:rsidRDefault="005C02EB" w:rsidP="00BA4F5A">
      <w:pPr>
        <w:pStyle w:val="Akapitzlist"/>
        <w:numPr>
          <w:ilvl w:val="0"/>
          <w:numId w:val="3"/>
        </w:numPr>
        <w:spacing w:after="0"/>
        <w:ind w:left="714" w:hanging="357"/>
        <w:jc w:val="both"/>
      </w:pPr>
      <w:r w:rsidRPr="005C02EB">
        <w:t>Koszty będą kwalifikowalne po uprawomocnieniu się decyzji o przyznaniu finansowania (dotychczas koszty w projektach były kwalifikowalne dopiero po podpisaniu umowy). Zmiana wchodzi w życie już począwszy od konkursów MAESTRO 9, SONATA 13, SONATA BIS 7, HARMONIA 9.</w:t>
      </w:r>
    </w:p>
    <w:p w:rsidR="005C02EB" w:rsidRPr="005C02EB" w:rsidRDefault="005C02EB" w:rsidP="00781447">
      <w:pPr>
        <w:pStyle w:val="Akapitzlist"/>
        <w:numPr>
          <w:ilvl w:val="0"/>
          <w:numId w:val="3"/>
        </w:numPr>
        <w:spacing w:before="100" w:beforeAutospacing="1" w:after="0"/>
        <w:jc w:val="both"/>
      </w:pPr>
      <w:r w:rsidRPr="005C02EB">
        <w:t>Wnioski z niewielkimi uchybieniami w kosztorysie (kosztami niekwalifikowalnymi) nie będą odrzucane z konkursu na etapie oceny formalnej. Zmiana obowiązuje począwszy od konkursów OPUS 14, PRELUDIUM 14 oraz DAINA 1.</w:t>
      </w:r>
    </w:p>
    <w:p w:rsidR="005C02EB" w:rsidRPr="005C02EB" w:rsidRDefault="005C02EB" w:rsidP="00781447">
      <w:pPr>
        <w:pStyle w:val="Akapitzlist"/>
        <w:numPr>
          <w:ilvl w:val="0"/>
          <w:numId w:val="3"/>
        </w:numPr>
        <w:spacing w:before="100" w:beforeAutospacing="1" w:after="0"/>
        <w:jc w:val="both"/>
      </w:pPr>
      <w:r w:rsidRPr="005C02EB">
        <w:t>Datę rozpoczęcia realizacji projektu będzie można zaproponować w e-mailu wysłanym do opiekuna projektu w NCN.</w:t>
      </w:r>
    </w:p>
    <w:p w:rsidR="005C02EB" w:rsidRPr="005C02EB" w:rsidRDefault="005C02EB" w:rsidP="00781447">
      <w:pPr>
        <w:pStyle w:val="Akapitzlist"/>
        <w:numPr>
          <w:ilvl w:val="0"/>
          <w:numId w:val="3"/>
        </w:numPr>
        <w:spacing w:before="100" w:beforeAutospacing="1" w:after="0"/>
        <w:jc w:val="both"/>
      </w:pPr>
      <w:r w:rsidRPr="005C02EB">
        <w:t>Projekt będzie można przenieść do innej jednostki nie tylko, jak dotychczas, w trakcie jego realizacji (czyli już po podpisaniu umowy), ale również przed podpisaniem umowy, a po uprawomocnieniu się decyzji o przyznaniu finansowania.</w:t>
      </w:r>
    </w:p>
    <w:p w:rsidR="005C02EB" w:rsidRPr="005C02EB" w:rsidRDefault="005C02EB" w:rsidP="00781447">
      <w:pPr>
        <w:pStyle w:val="Akapitzlist"/>
        <w:numPr>
          <w:ilvl w:val="0"/>
          <w:numId w:val="3"/>
        </w:numPr>
        <w:spacing w:before="100" w:beforeAutospacing="1" w:after="0"/>
        <w:jc w:val="both"/>
      </w:pPr>
      <w:r w:rsidRPr="005C02EB">
        <w:t>Począwszy od konkursów, których ogłoszenie jest planowane na 15 września 2018 r. nie trzeba będzie do każdego wniosku o finansowanie załączać dodatkowego formularza w systemie ZSUN/OSF sprawdzającego, czy wniosek obejmuje udzielenie pomocy publicznej.</w:t>
      </w:r>
    </w:p>
    <w:p w:rsidR="005C02EB" w:rsidRPr="005C02EB" w:rsidRDefault="005C02EB" w:rsidP="00781447">
      <w:pPr>
        <w:pStyle w:val="Akapitzlist"/>
        <w:numPr>
          <w:ilvl w:val="0"/>
          <w:numId w:val="3"/>
        </w:numPr>
        <w:spacing w:before="100" w:beforeAutospacing="1" w:after="0"/>
        <w:jc w:val="both"/>
      </w:pPr>
      <w:r w:rsidRPr="005C02EB">
        <w:t>W przypadku wniosków składanych przez osoby fizyczne zostaną zlikwidowane oświadczenia o zatrudnianiu kierownika projektu, które jednostka przedstawiała po wydaniu promesy, a przed otrzymaniem decyzji o finansowaniu projektu.</w:t>
      </w:r>
    </w:p>
    <w:p w:rsidR="005C02EB" w:rsidRPr="005C02EB" w:rsidRDefault="005C02EB" w:rsidP="00781447">
      <w:pPr>
        <w:pStyle w:val="Akapitzlist"/>
        <w:numPr>
          <w:ilvl w:val="0"/>
          <w:numId w:val="3"/>
        </w:numPr>
        <w:spacing w:before="100" w:beforeAutospacing="1" w:after="0"/>
        <w:jc w:val="both"/>
      </w:pPr>
      <w:r w:rsidRPr="005C02EB">
        <w:t>Skrócony i szczegółowy opis projektu będą załącznikami do wniosku, dzięki czemu prace nad merytoryczną częścią projektu będą mogły trwać do zamknięcia naboru wniosków. Obydwa załączniki będą sporządzane w języku angielskim. Dotychczas skrócony opis projektu był sporządzany w języku polskim, a opisy stanowiły część wniosku.</w:t>
      </w:r>
    </w:p>
    <w:p w:rsidR="005C02EB" w:rsidRPr="005C02EB" w:rsidRDefault="005C02EB" w:rsidP="00781447">
      <w:pPr>
        <w:pStyle w:val="Akapitzlist"/>
        <w:numPr>
          <w:ilvl w:val="0"/>
          <w:numId w:val="3"/>
        </w:numPr>
        <w:spacing w:before="100" w:beforeAutospacing="1" w:after="0"/>
        <w:jc w:val="both"/>
      </w:pPr>
      <w:r w:rsidRPr="005C02EB">
        <w:t>Okres realizacji projektu będzie można wydłużyć do 12 miesięcy bez uzyskiwania zgody Centrum (dotychczas do 6 miesięcy).</w:t>
      </w:r>
    </w:p>
    <w:p w:rsidR="005C02EB" w:rsidRPr="005C02EB" w:rsidRDefault="005C02EB" w:rsidP="00781447">
      <w:pPr>
        <w:pStyle w:val="Akapitzlist"/>
        <w:numPr>
          <w:ilvl w:val="0"/>
          <w:numId w:val="3"/>
        </w:numPr>
        <w:spacing w:before="100" w:beforeAutospacing="1" w:after="0"/>
        <w:jc w:val="both"/>
      </w:pPr>
      <w:r w:rsidRPr="005C02EB">
        <w:t>Lista planowanej do zakupienia w projekcie aparatury nie będzie wiążąca na etapie jego realizacji.</w:t>
      </w:r>
    </w:p>
    <w:p w:rsidR="005C02EB" w:rsidRDefault="005C02EB" w:rsidP="00781447">
      <w:pPr>
        <w:pStyle w:val="Akapitzlist"/>
        <w:numPr>
          <w:ilvl w:val="0"/>
          <w:numId w:val="3"/>
        </w:numPr>
        <w:spacing w:before="100" w:beforeAutospacing="1" w:after="0"/>
        <w:jc w:val="both"/>
      </w:pPr>
      <w:r w:rsidRPr="005C02EB">
        <w:t>W przypadku zatrudnienia etatowego z funduszy grantowych, nie będzie przeciwwskazań, żeby jednostka dofinansowała wynagrodzenia z własnych środków.</w:t>
      </w:r>
    </w:p>
    <w:p w:rsidR="005C02EB" w:rsidRPr="005C02EB" w:rsidRDefault="00BD47F8" w:rsidP="00781447">
      <w:pPr>
        <w:pBdr>
          <w:bottom w:val="single" w:sz="6" w:space="1" w:color="auto"/>
        </w:pBdr>
        <w:spacing w:before="100" w:beforeAutospacing="1" w:after="0"/>
        <w:contextualSpacing/>
        <w:jc w:val="both"/>
      </w:pPr>
      <w:hyperlink r:id="rId7" w:history="1">
        <w:r w:rsidR="005C02EB" w:rsidRPr="005C02EB">
          <w:rPr>
            <w:rStyle w:val="Hipercze"/>
          </w:rPr>
          <w:t>Pełną informację o decyzji NCN można znaleźć na stronie internetowej Centrum</w:t>
        </w:r>
      </w:hyperlink>
      <w:r w:rsidR="005C02EB" w:rsidRPr="005C02EB">
        <w:t>.</w:t>
      </w:r>
    </w:p>
    <w:p w:rsidR="005C02EB" w:rsidRDefault="005C02EB" w:rsidP="00781447">
      <w:pPr>
        <w:spacing w:before="100" w:beforeAutospacing="1" w:after="0"/>
        <w:contextualSpacing/>
        <w:jc w:val="both"/>
        <w:rPr>
          <w:b/>
          <w:u w:val="single"/>
        </w:rPr>
      </w:pPr>
    </w:p>
    <w:p w:rsidR="005C02EB" w:rsidRPr="005C02EB" w:rsidRDefault="005C02EB" w:rsidP="00781447">
      <w:pPr>
        <w:spacing w:before="100" w:beforeAutospacing="1" w:after="0"/>
        <w:contextualSpacing/>
        <w:jc w:val="both"/>
        <w:rPr>
          <w:b/>
          <w:sz w:val="24"/>
          <w:u w:val="single"/>
        </w:rPr>
      </w:pPr>
      <w:r w:rsidRPr="005C02EB">
        <w:rPr>
          <w:b/>
          <w:sz w:val="24"/>
          <w:u w:val="single"/>
        </w:rPr>
        <w:t>Miniatura 2</w:t>
      </w:r>
    </w:p>
    <w:p w:rsidR="005C02EB" w:rsidRPr="005C02EB" w:rsidRDefault="005C02EB" w:rsidP="00781447">
      <w:pPr>
        <w:spacing w:before="100" w:beforeAutospacing="1" w:after="0"/>
        <w:contextualSpacing/>
        <w:jc w:val="both"/>
      </w:pPr>
      <w:r w:rsidRPr="005C02EB">
        <w:t>Narodowe Centrum Nauki podało pierwsze szczegóły planowanego naboru w ramach konkursu Miniatura 2. Nabór wniosków ruszy w kwietniu 2018 r. i będzie prowadzony w trybie ciągłym. Budżet konkursu wyniesie 20 mln zł.</w:t>
      </w:r>
    </w:p>
    <w:p w:rsidR="005C02EB" w:rsidRPr="005C02EB" w:rsidRDefault="005C02EB" w:rsidP="00781447">
      <w:pPr>
        <w:spacing w:before="100" w:beforeAutospacing="1" w:after="0"/>
        <w:contextualSpacing/>
        <w:jc w:val="both"/>
      </w:pPr>
      <w:r w:rsidRPr="005C02EB">
        <w:t>W ramach wniosku możliwe będzie uzyskanie wsparcia w wysokości od 5 000 zł do 50 000 zł. Wniosek będzie mógł zakładać realizację jednego spośród następujących działań:</w:t>
      </w:r>
    </w:p>
    <w:p w:rsidR="005C02EB" w:rsidRPr="005C02EB" w:rsidRDefault="005C02EB" w:rsidP="00781447">
      <w:pPr>
        <w:pStyle w:val="Akapitzlist"/>
        <w:numPr>
          <w:ilvl w:val="0"/>
          <w:numId w:val="2"/>
        </w:numPr>
        <w:spacing w:before="100" w:beforeAutospacing="1" w:after="0"/>
        <w:jc w:val="both"/>
      </w:pPr>
      <w:r w:rsidRPr="005C02EB">
        <w:t>badania wstępne,</w:t>
      </w:r>
    </w:p>
    <w:p w:rsidR="005C02EB" w:rsidRPr="005C02EB" w:rsidRDefault="005C02EB" w:rsidP="00781447">
      <w:pPr>
        <w:pStyle w:val="Akapitzlist"/>
        <w:numPr>
          <w:ilvl w:val="0"/>
          <w:numId w:val="2"/>
        </w:numPr>
        <w:spacing w:before="100" w:beforeAutospacing="1" w:after="0"/>
        <w:jc w:val="both"/>
      </w:pPr>
      <w:r w:rsidRPr="005C02EB">
        <w:t>badania pilotażowe,</w:t>
      </w:r>
    </w:p>
    <w:p w:rsidR="005C02EB" w:rsidRPr="005C02EB" w:rsidRDefault="005C02EB" w:rsidP="00781447">
      <w:pPr>
        <w:pStyle w:val="Akapitzlist"/>
        <w:numPr>
          <w:ilvl w:val="0"/>
          <w:numId w:val="2"/>
        </w:numPr>
        <w:spacing w:before="100" w:beforeAutospacing="1" w:after="0"/>
        <w:jc w:val="both"/>
      </w:pPr>
      <w:r w:rsidRPr="005C02EB">
        <w:t>kwerenda,</w:t>
      </w:r>
    </w:p>
    <w:p w:rsidR="005C02EB" w:rsidRPr="005C02EB" w:rsidRDefault="005C02EB" w:rsidP="00781447">
      <w:pPr>
        <w:pStyle w:val="Akapitzlist"/>
        <w:numPr>
          <w:ilvl w:val="0"/>
          <w:numId w:val="2"/>
        </w:numPr>
        <w:spacing w:before="100" w:beforeAutospacing="1" w:after="0"/>
        <w:jc w:val="both"/>
      </w:pPr>
      <w:r w:rsidRPr="005C02EB">
        <w:t>staż naukowy,</w:t>
      </w:r>
    </w:p>
    <w:p w:rsidR="005C02EB" w:rsidRPr="005C02EB" w:rsidRDefault="005C02EB" w:rsidP="00781447">
      <w:pPr>
        <w:pStyle w:val="Akapitzlist"/>
        <w:numPr>
          <w:ilvl w:val="0"/>
          <w:numId w:val="2"/>
        </w:numPr>
        <w:spacing w:before="100" w:beforeAutospacing="1" w:after="0"/>
        <w:jc w:val="both"/>
      </w:pPr>
      <w:r w:rsidRPr="005C02EB">
        <w:lastRenderedPageBreak/>
        <w:t>wyjazd konferencyjny,</w:t>
      </w:r>
    </w:p>
    <w:p w:rsidR="005C02EB" w:rsidRPr="005C02EB" w:rsidRDefault="005C02EB" w:rsidP="00781447">
      <w:pPr>
        <w:pStyle w:val="Akapitzlist"/>
        <w:numPr>
          <w:ilvl w:val="0"/>
          <w:numId w:val="2"/>
        </w:numPr>
        <w:spacing w:before="100" w:beforeAutospacing="1" w:after="0"/>
        <w:jc w:val="both"/>
      </w:pPr>
      <w:r w:rsidRPr="005C02EB">
        <w:t>wyjazd badawczy,</w:t>
      </w:r>
    </w:p>
    <w:p w:rsidR="005C02EB" w:rsidRPr="005C02EB" w:rsidRDefault="005C02EB" w:rsidP="00781447">
      <w:pPr>
        <w:pStyle w:val="Akapitzlist"/>
        <w:numPr>
          <w:ilvl w:val="0"/>
          <w:numId w:val="2"/>
        </w:numPr>
        <w:spacing w:before="100" w:beforeAutospacing="1" w:after="0"/>
        <w:jc w:val="both"/>
      </w:pPr>
      <w:r w:rsidRPr="005C02EB">
        <w:t>wyjazd konsultacyjny.</w:t>
      </w:r>
    </w:p>
    <w:p w:rsidR="005C02EB" w:rsidRPr="005C02EB" w:rsidRDefault="005C02EB" w:rsidP="00781447">
      <w:pPr>
        <w:spacing w:before="100" w:beforeAutospacing="1" w:after="0"/>
        <w:contextualSpacing/>
        <w:jc w:val="both"/>
      </w:pPr>
      <w:r w:rsidRPr="005C02EB">
        <w:t>Zgłaszane projekty będą mogły być realizowane przez osoby, które spełniają następujące warunki:</w:t>
      </w:r>
    </w:p>
    <w:p w:rsidR="005C02EB" w:rsidRPr="005C02EB" w:rsidRDefault="005C02EB" w:rsidP="00781447">
      <w:pPr>
        <w:pStyle w:val="Akapitzlist"/>
        <w:numPr>
          <w:ilvl w:val="0"/>
          <w:numId w:val="4"/>
        </w:numPr>
        <w:spacing w:before="100" w:beforeAutospacing="1" w:after="0"/>
        <w:jc w:val="both"/>
      </w:pPr>
      <w:r w:rsidRPr="005C02EB">
        <w:t>uzyskały stopień naukowy doktora w okresie do 12 lat przed rokiem wystąpienia z wnioskiem</w:t>
      </w:r>
    </w:p>
    <w:p w:rsidR="005C02EB" w:rsidRPr="005C02EB" w:rsidRDefault="005C02EB" w:rsidP="00781447">
      <w:pPr>
        <w:pStyle w:val="Akapitzlist"/>
        <w:numPr>
          <w:ilvl w:val="0"/>
          <w:numId w:val="4"/>
        </w:numPr>
        <w:spacing w:before="100" w:beforeAutospacing="1" w:after="0"/>
        <w:jc w:val="both"/>
      </w:pPr>
      <w:r w:rsidRPr="005C02EB">
        <w:t>nie kierowały i nie kierują realizacją projektów badawczych finansowanych ze środków Narodowego Centrum Nauki lub finansowanych w ramach innych konkursów ogólnokrajowych lub międzynarodowych;</w:t>
      </w:r>
    </w:p>
    <w:p w:rsidR="005C02EB" w:rsidRPr="005C02EB" w:rsidRDefault="005C02EB" w:rsidP="00781447">
      <w:pPr>
        <w:pStyle w:val="Akapitzlist"/>
        <w:numPr>
          <w:ilvl w:val="0"/>
          <w:numId w:val="4"/>
        </w:numPr>
        <w:spacing w:before="100" w:beforeAutospacing="1" w:after="0"/>
        <w:jc w:val="both"/>
      </w:pPr>
      <w:r w:rsidRPr="005C02EB">
        <w:t>nie są laureatami konkursów Narodowego Centrum Nauki na stypendia doktorskie lub staże po uzyskaniu stopnia naukowego doktora;</w:t>
      </w:r>
    </w:p>
    <w:p w:rsidR="005C02EB" w:rsidRPr="005C02EB" w:rsidRDefault="005C02EB" w:rsidP="00781447">
      <w:pPr>
        <w:pStyle w:val="Akapitzlist"/>
        <w:numPr>
          <w:ilvl w:val="0"/>
          <w:numId w:val="4"/>
        </w:numPr>
        <w:spacing w:before="100" w:beforeAutospacing="1" w:after="0"/>
        <w:jc w:val="both"/>
      </w:pPr>
      <w:r w:rsidRPr="005C02EB">
        <w:t>są zatrudnione przez wnioskodawcę na podstawie umowy o pracę.</w:t>
      </w:r>
    </w:p>
    <w:p w:rsidR="005C02EB" w:rsidRPr="005C02EB" w:rsidRDefault="005C02EB" w:rsidP="00781447">
      <w:pPr>
        <w:spacing w:before="100" w:beforeAutospacing="1" w:after="0"/>
        <w:contextualSpacing/>
        <w:jc w:val="both"/>
      </w:pPr>
      <w:r w:rsidRPr="005C02EB">
        <w:t xml:space="preserve">Szczegółowe zasady konkursu Miniatura 2 zawiera </w:t>
      </w:r>
      <w:hyperlink r:id="rId8" w:history="1">
        <w:r w:rsidRPr="005C02EB">
          <w:rPr>
            <w:rStyle w:val="Hipercze"/>
          </w:rPr>
          <w:t>Uchwała NR 4/2018 Rady Narodowego Centrum Nauki z dnia 17 stycznia 2018 r. w sprawie warunków oraz regulaminu przyznawania środków na realizację zadań finansowanych przez Narodowe Centrum Nauki w konkursie MINIATURA 2 na działanie naukowe</w:t>
        </w:r>
      </w:hyperlink>
    </w:p>
    <w:p w:rsidR="005C02EB" w:rsidRDefault="00BD47F8" w:rsidP="00781447">
      <w:pPr>
        <w:pBdr>
          <w:bottom w:val="single" w:sz="6" w:space="1" w:color="auto"/>
        </w:pBdr>
        <w:spacing w:before="100" w:beforeAutospacing="1" w:after="0"/>
        <w:contextualSpacing/>
        <w:jc w:val="both"/>
      </w:pPr>
      <w:hyperlink r:id="rId9" w:history="1">
        <w:r w:rsidR="005C02EB" w:rsidRPr="005C02EB">
          <w:rPr>
            <w:rStyle w:val="Hipercze"/>
          </w:rPr>
          <w:t>Katalog kosztów dopuszczalnych w ramach konkursu Miniatura 2</w:t>
        </w:r>
      </w:hyperlink>
    </w:p>
    <w:p w:rsidR="00781447" w:rsidRPr="00781447" w:rsidRDefault="00781447" w:rsidP="00781447">
      <w:pPr>
        <w:spacing w:before="100" w:beforeAutospacing="1" w:after="0"/>
        <w:contextualSpacing/>
        <w:jc w:val="both"/>
      </w:pPr>
    </w:p>
    <w:p w:rsidR="00781447" w:rsidRPr="00781447" w:rsidRDefault="00781447" w:rsidP="00781447">
      <w:pPr>
        <w:shd w:val="clear" w:color="auto" w:fill="FFFFFF"/>
        <w:spacing w:before="100" w:beforeAutospacing="1" w:after="0"/>
        <w:contextualSpacing/>
        <w:jc w:val="both"/>
        <w:outlineLvl w:val="0"/>
        <w:rPr>
          <w:rFonts w:eastAsia="Times New Roman" w:cs="Arial"/>
          <w:b/>
          <w:bCs/>
          <w:color w:val="000000"/>
          <w:kern w:val="36"/>
          <w:sz w:val="24"/>
          <w:u w:val="single"/>
          <w:lang w:eastAsia="pl-PL"/>
        </w:rPr>
      </w:pPr>
      <w:r w:rsidRPr="00781447">
        <w:rPr>
          <w:rFonts w:eastAsia="Times New Roman" w:cs="Arial"/>
          <w:b/>
          <w:bCs/>
          <w:color w:val="000000"/>
          <w:kern w:val="36"/>
          <w:sz w:val="24"/>
          <w:u w:val="single"/>
          <w:lang w:eastAsia="pl-PL"/>
        </w:rPr>
        <w:t>Planowany harmonogram konkursów w 2018 roku</w:t>
      </w:r>
    </w:p>
    <w:p w:rsidR="00781447" w:rsidRPr="00781447" w:rsidRDefault="00781447" w:rsidP="00781447">
      <w:pPr>
        <w:shd w:val="clear" w:color="auto" w:fill="FFFFFF"/>
        <w:spacing w:before="100" w:beforeAutospacing="1" w:after="0"/>
        <w:contextualSpacing/>
        <w:jc w:val="both"/>
        <w:outlineLvl w:val="0"/>
        <w:rPr>
          <w:rFonts w:eastAsia="Times New Roman" w:cs="Arial"/>
          <w:b/>
          <w:bCs/>
          <w:color w:val="000000"/>
          <w:kern w:val="36"/>
          <w:lang w:eastAsia="pl-PL"/>
        </w:rPr>
      </w:pPr>
    </w:p>
    <w:p w:rsidR="00781447" w:rsidRPr="00781447" w:rsidRDefault="00BD47F8" w:rsidP="00781447">
      <w:pPr>
        <w:shd w:val="clear" w:color="auto" w:fill="FFFFFF"/>
        <w:spacing w:before="100" w:beforeAutospacing="1" w:after="0"/>
        <w:contextualSpacing/>
        <w:jc w:val="both"/>
        <w:outlineLvl w:val="0"/>
        <w:rPr>
          <w:rFonts w:eastAsia="Times New Roman" w:cs="Arial"/>
          <w:b/>
          <w:bCs/>
          <w:color w:val="000000"/>
          <w:kern w:val="36"/>
          <w:lang w:eastAsia="pl-PL"/>
        </w:rPr>
      </w:pPr>
      <w:hyperlink r:id="rId10" w:history="1">
        <w:r w:rsidR="00781447" w:rsidRPr="00781447">
          <w:rPr>
            <w:rStyle w:val="Hipercze"/>
            <w:rFonts w:cs="Arial"/>
            <w:shd w:val="clear" w:color="auto" w:fill="FFFFFF"/>
          </w:rPr>
          <w:t>Planowany harmonogram </w:t>
        </w:r>
      </w:hyperlink>
      <w:r w:rsidR="00781447" w:rsidRPr="00781447">
        <w:rPr>
          <w:rFonts w:cs="Arial"/>
          <w:color w:val="333333"/>
          <w:shd w:val="clear" w:color="auto" w:fill="FFFFFF"/>
        </w:rPr>
        <w:t>przeprowadzania konkursów przez Narodowe Centrum Nauki w roku 2017 oraz wstępny harmonogram konkursów na 2018 r. Szczegółowe informacje na temat warunków, trybu oraz terminów rozpoczęcia poszczególnych konkursów zostaną umieszczone na stronie NCN po zatwierdzeniu odpowiednimi uchwałami Rady Narodowego Centrum Nauki.</w:t>
      </w:r>
    </w:p>
    <w:p w:rsidR="00781447" w:rsidRPr="005C02EB" w:rsidRDefault="00781447" w:rsidP="00781447">
      <w:pPr>
        <w:spacing w:before="100" w:beforeAutospacing="1" w:after="0"/>
        <w:contextualSpacing/>
        <w:jc w:val="both"/>
      </w:pPr>
    </w:p>
    <w:sectPr w:rsidR="00781447" w:rsidRPr="005C02EB" w:rsidSect="00924A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F8" w:rsidRDefault="00BD47F8" w:rsidP="00781447">
      <w:pPr>
        <w:spacing w:after="0" w:line="240" w:lineRule="auto"/>
      </w:pPr>
      <w:r>
        <w:separator/>
      </w:r>
    </w:p>
  </w:endnote>
  <w:endnote w:type="continuationSeparator" w:id="0">
    <w:p w:rsidR="00BD47F8" w:rsidRDefault="00BD47F8" w:rsidP="0078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914"/>
      <w:docPartObj>
        <w:docPartGallery w:val="Page Numbers (Bottom of Page)"/>
        <w:docPartUnique/>
      </w:docPartObj>
    </w:sdtPr>
    <w:sdtEndPr/>
    <w:sdtContent>
      <w:sdt>
        <w:sdtPr>
          <w:id w:val="810570653"/>
          <w:docPartObj>
            <w:docPartGallery w:val="Page Numbers (Top of Page)"/>
            <w:docPartUnique/>
          </w:docPartObj>
        </w:sdtPr>
        <w:sdtEndPr/>
        <w:sdtContent>
          <w:p w:rsidR="00781447" w:rsidRDefault="00781447">
            <w:pPr>
              <w:pStyle w:val="Stopka"/>
              <w:jc w:val="right"/>
            </w:pPr>
            <w:r>
              <w:t xml:space="preserve">Strona </w:t>
            </w:r>
            <w:r>
              <w:rPr>
                <w:b/>
                <w:sz w:val="24"/>
                <w:szCs w:val="24"/>
              </w:rPr>
              <w:fldChar w:fldCharType="begin"/>
            </w:r>
            <w:r>
              <w:rPr>
                <w:b/>
              </w:rPr>
              <w:instrText>PAGE</w:instrText>
            </w:r>
            <w:r>
              <w:rPr>
                <w:b/>
                <w:sz w:val="24"/>
                <w:szCs w:val="24"/>
              </w:rPr>
              <w:fldChar w:fldCharType="separate"/>
            </w:r>
            <w:r w:rsidR="003F1011">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F1011">
              <w:rPr>
                <w:b/>
                <w:noProof/>
              </w:rPr>
              <w:t>2</w:t>
            </w:r>
            <w:r>
              <w:rPr>
                <w:b/>
                <w:sz w:val="24"/>
                <w:szCs w:val="24"/>
              </w:rPr>
              <w:fldChar w:fldCharType="end"/>
            </w:r>
          </w:p>
        </w:sdtContent>
      </w:sdt>
    </w:sdtContent>
  </w:sdt>
  <w:p w:rsidR="00781447" w:rsidRDefault="007814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F8" w:rsidRDefault="00BD47F8" w:rsidP="00781447">
      <w:pPr>
        <w:spacing w:after="0" w:line="240" w:lineRule="auto"/>
      </w:pPr>
      <w:r>
        <w:separator/>
      </w:r>
    </w:p>
  </w:footnote>
  <w:footnote w:type="continuationSeparator" w:id="0">
    <w:p w:rsidR="00BD47F8" w:rsidRDefault="00BD47F8" w:rsidP="00781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00F8"/>
    <w:multiLevelType w:val="hybridMultilevel"/>
    <w:tmpl w:val="BC3E2400"/>
    <w:lvl w:ilvl="0" w:tplc="C66A5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183781"/>
    <w:multiLevelType w:val="hybridMultilevel"/>
    <w:tmpl w:val="339A0522"/>
    <w:lvl w:ilvl="0" w:tplc="C66A5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9818B0"/>
    <w:multiLevelType w:val="hybridMultilevel"/>
    <w:tmpl w:val="77A457C6"/>
    <w:lvl w:ilvl="0" w:tplc="C66A5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B93E38"/>
    <w:multiLevelType w:val="hybridMultilevel"/>
    <w:tmpl w:val="322AE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EB"/>
    <w:rsid w:val="000015A7"/>
    <w:rsid w:val="00040942"/>
    <w:rsid w:val="00044DBB"/>
    <w:rsid w:val="000674A5"/>
    <w:rsid w:val="00086200"/>
    <w:rsid w:val="00094B2E"/>
    <w:rsid w:val="000A5577"/>
    <w:rsid w:val="000C3411"/>
    <w:rsid w:val="000C5572"/>
    <w:rsid w:val="000E1511"/>
    <w:rsid w:val="000E2D3E"/>
    <w:rsid w:val="000E308A"/>
    <w:rsid w:val="00192E6A"/>
    <w:rsid w:val="001A0D76"/>
    <w:rsid w:val="001A4CA6"/>
    <w:rsid w:val="001D3A23"/>
    <w:rsid w:val="0022018F"/>
    <w:rsid w:val="002532C1"/>
    <w:rsid w:val="00264410"/>
    <w:rsid w:val="002874CA"/>
    <w:rsid w:val="002B1E51"/>
    <w:rsid w:val="002C3978"/>
    <w:rsid w:val="002D6AC0"/>
    <w:rsid w:val="002E4E40"/>
    <w:rsid w:val="002E78EA"/>
    <w:rsid w:val="00302A6C"/>
    <w:rsid w:val="003046E6"/>
    <w:rsid w:val="003146D2"/>
    <w:rsid w:val="0032541A"/>
    <w:rsid w:val="003667F2"/>
    <w:rsid w:val="003A1F96"/>
    <w:rsid w:val="003B658E"/>
    <w:rsid w:val="003D1597"/>
    <w:rsid w:val="003D1E45"/>
    <w:rsid w:val="003D26BF"/>
    <w:rsid w:val="003D743E"/>
    <w:rsid w:val="003E2926"/>
    <w:rsid w:val="003F1011"/>
    <w:rsid w:val="00407931"/>
    <w:rsid w:val="00431DEA"/>
    <w:rsid w:val="00444481"/>
    <w:rsid w:val="00461FF1"/>
    <w:rsid w:val="00472B5C"/>
    <w:rsid w:val="0048552D"/>
    <w:rsid w:val="004A6EA4"/>
    <w:rsid w:val="004B2F24"/>
    <w:rsid w:val="004B35DD"/>
    <w:rsid w:val="00512E1A"/>
    <w:rsid w:val="00556AA3"/>
    <w:rsid w:val="00590F57"/>
    <w:rsid w:val="00591D63"/>
    <w:rsid w:val="00592B5C"/>
    <w:rsid w:val="005976F9"/>
    <w:rsid w:val="005A6B7C"/>
    <w:rsid w:val="005C02EB"/>
    <w:rsid w:val="005C085F"/>
    <w:rsid w:val="005F72C7"/>
    <w:rsid w:val="00605587"/>
    <w:rsid w:val="0065356C"/>
    <w:rsid w:val="00660721"/>
    <w:rsid w:val="006C0F6D"/>
    <w:rsid w:val="006D444A"/>
    <w:rsid w:val="006F5DA0"/>
    <w:rsid w:val="00706842"/>
    <w:rsid w:val="00725674"/>
    <w:rsid w:val="00725D96"/>
    <w:rsid w:val="00781447"/>
    <w:rsid w:val="007861EE"/>
    <w:rsid w:val="007A4135"/>
    <w:rsid w:val="007B2279"/>
    <w:rsid w:val="007D1CFA"/>
    <w:rsid w:val="0083463A"/>
    <w:rsid w:val="00837926"/>
    <w:rsid w:val="00843A5E"/>
    <w:rsid w:val="00844EF4"/>
    <w:rsid w:val="008C2B46"/>
    <w:rsid w:val="008C2D2A"/>
    <w:rsid w:val="008F7EFE"/>
    <w:rsid w:val="009210AB"/>
    <w:rsid w:val="00924A66"/>
    <w:rsid w:val="00987A7C"/>
    <w:rsid w:val="009D4D59"/>
    <w:rsid w:val="00A25B17"/>
    <w:rsid w:val="00A41081"/>
    <w:rsid w:val="00A46D2E"/>
    <w:rsid w:val="00A73492"/>
    <w:rsid w:val="00B0269C"/>
    <w:rsid w:val="00B56D9E"/>
    <w:rsid w:val="00B76350"/>
    <w:rsid w:val="00B87D21"/>
    <w:rsid w:val="00BA4F5A"/>
    <w:rsid w:val="00BB6B31"/>
    <w:rsid w:val="00BD47F8"/>
    <w:rsid w:val="00BF6616"/>
    <w:rsid w:val="00C2628F"/>
    <w:rsid w:val="00C33473"/>
    <w:rsid w:val="00C4177E"/>
    <w:rsid w:val="00C64A76"/>
    <w:rsid w:val="00C70217"/>
    <w:rsid w:val="00C838EA"/>
    <w:rsid w:val="00C8509D"/>
    <w:rsid w:val="00CA1A0F"/>
    <w:rsid w:val="00CB3A5F"/>
    <w:rsid w:val="00CD179F"/>
    <w:rsid w:val="00CF3A7D"/>
    <w:rsid w:val="00CF6E46"/>
    <w:rsid w:val="00CF7565"/>
    <w:rsid w:val="00D60558"/>
    <w:rsid w:val="00D75D65"/>
    <w:rsid w:val="00D92E7D"/>
    <w:rsid w:val="00E1360C"/>
    <w:rsid w:val="00E70B6E"/>
    <w:rsid w:val="00E80285"/>
    <w:rsid w:val="00E93F85"/>
    <w:rsid w:val="00E9756B"/>
    <w:rsid w:val="00EA06A4"/>
    <w:rsid w:val="00EE0523"/>
    <w:rsid w:val="00F00380"/>
    <w:rsid w:val="00F17C9C"/>
    <w:rsid w:val="00F259C3"/>
    <w:rsid w:val="00F27E6D"/>
    <w:rsid w:val="00F64DD1"/>
    <w:rsid w:val="00F66BDA"/>
    <w:rsid w:val="00F73402"/>
    <w:rsid w:val="00F8037C"/>
    <w:rsid w:val="00F97D12"/>
    <w:rsid w:val="00FC2D36"/>
    <w:rsid w:val="00FC3BD0"/>
    <w:rsid w:val="00FD1EB1"/>
    <w:rsid w:val="00FE1086"/>
    <w:rsid w:val="00FE3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BDC32-2E8B-49EE-A8D0-8640E616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A66"/>
  </w:style>
  <w:style w:type="paragraph" w:styleId="Nagwek1">
    <w:name w:val="heading 1"/>
    <w:basedOn w:val="Normalny"/>
    <w:link w:val="Nagwek1Znak"/>
    <w:uiPriority w:val="9"/>
    <w:qFormat/>
    <w:rsid w:val="00781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02EB"/>
    <w:pPr>
      <w:ind w:left="720"/>
      <w:contextualSpacing/>
    </w:pPr>
  </w:style>
  <w:style w:type="character" w:styleId="Hipercze">
    <w:name w:val="Hyperlink"/>
    <w:basedOn w:val="Domylnaczcionkaakapitu"/>
    <w:uiPriority w:val="99"/>
    <w:unhideWhenUsed/>
    <w:rsid w:val="005C02EB"/>
    <w:rPr>
      <w:color w:val="0000FF" w:themeColor="hyperlink"/>
      <w:u w:val="single"/>
    </w:rPr>
  </w:style>
  <w:style w:type="character" w:customStyle="1" w:styleId="Nagwek1Znak">
    <w:name w:val="Nagłówek 1 Znak"/>
    <w:basedOn w:val="Domylnaczcionkaakapitu"/>
    <w:link w:val="Nagwek1"/>
    <w:uiPriority w:val="9"/>
    <w:rsid w:val="0078144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781447"/>
    <w:rPr>
      <w:b/>
      <w:bCs/>
    </w:rPr>
  </w:style>
  <w:style w:type="paragraph" w:styleId="Nagwek">
    <w:name w:val="header"/>
    <w:basedOn w:val="Normalny"/>
    <w:link w:val="NagwekZnak"/>
    <w:uiPriority w:val="99"/>
    <w:semiHidden/>
    <w:unhideWhenUsed/>
    <w:rsid w:val="007814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81447"/>
  </w:style>
  <w:style w:type="paragraph" w:styleId="Stopka">
    <w:name w:val="footer"/>
    <w:basedOn w:val="Normalny"/>
    <w:link w:val="StopkaZnak"/>
    <w:uiPriority w:val="99"/>
    <w:unhideWhenUsed/>
    <w:rsid w:val="00781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00351">
      <w:bodyDiv w:val="1"/>
      <w:marLeft w:val="0"/>
      <w:marRight w:val="0"/>
      <w:marTop w:val="0"/>
      <w:marBottom w:val="0"/>
      <w:divBdr>
        <w:top w:val="none" w:sz="0" w:space="0" w:color="auto"/>
        <w:left w:val="none" w:sz="0" w:space="0" w:color="auto"/>
        <w:bottom w:val="none" w:sz="0" w:space="0" w:color="auto"/>
        <w:right w:val="none" w:sz="0" w:space="0" w:color="auto"/>
      </w:divBdr>
      <w:divsChild>
        <w:div w:id="1064641330">
          <w:marLeft w:val="0"/>
          <w:marRight w:val="0"/>
          <w:marTop w:val="0"/>
          <w:marBottom w:val="0"/>
          <w:divBdr>
            <w:top w:val="single" w:sz="8" w:space="0" w:color="C0C0C0"/>
            <w:left w:val="single" w:sz="8" w:space="0" w:color="C0C0C0"/>
            <w:bottom w:val="single" w:sz="8" w:space="0" w:color="C0C0C0"/>
            <w:right w:val="single" w:sz="8" w:space="0" w:color="C0C0C0"/>
          </w:divBdr>
        </w:div>
      </w:divsChild>
    </w:div>
    <w:div w:id="17919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n.gov.pl/sites/default/files/pliki/uchwaly-rady/2018/uchwala4_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n.gov.pl/aktualnosci/2018-01-19-ncn-ulatwia-realizacje-grant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n.gov.pl/finansowanie-nauki/konkursy/harmonogram" TargetMode="External"/><Relationship Id="rId4" Type="http://schemas.openxmlformats.org/officeDocument/2006/relationships/webSettings" Target="webSettings.xml"/><Relationship Id="rId9" Type="http://schemas.openxmlformats.org/officeDocument/2006/relationships/hyperlink" Target="https://ncn.gov.pl/sites/default/files/pliki/uchwaly-rady/2018/uchwala4_2018-zal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3731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i_palczewska</dc:creator>
  <cp:lastModifiedBy>Kamila</cp:lastModifiedBy>
  <cp:revision>2</cp:revision>
  <dcterms:created xsi:type="dcterms:W3CDTF">2018-01-30T10:49:00Z</dcterms:created>
  <dcterms:modified xsi:type="dcterms:W3CDTF">2018-01-30T10:49:00Z</dcterms:modified>
</cp:coreProperties>
</file>